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60587" w:rsidRDefault="00F60587" w:rsidP="00F60587">
      <w:pPr>
        <w:jc w:val="center"/>
      </w:pPr>
    </w:p>
    <w:p w:rsidR="00F60587" w:rsidRDefault="00F60587" w:rsidP="00F60587">
      <w:pPr>
        <w:jc w:val="center"/>
      </w:pPr>
    </w:p>
    <w:p w:rsidR="00F60587" w:rsidRDefault="00F60587" w:rsidP="00F60587">
      <w:pPr>
        <w:jc w:val="center"/>
      </w:pPr>
    </w:p>
    <w:p w:rsidR="00F60587" w:rsidRDefault="00F60587" w:rsidP="00F60587">
      <w:pPr>
        <w:jc w:val="center"/>
      </w:pPr>
    </w:p>
    <w:p w:rsidR="00F60587" w:rsidRDefault="00F60587" w:rsidP="00F60587">
      <w:pPr>
        <w:jc w:val="center"/>
      </w:pPr>
    </w:p>
    <w:p w:rsidR="00F60587" w:rsidRDefault="00F60587" w:rsidP="00F60587">
      <w:pPr>
        <w:jc w:val="center"/>
      </w:pPr>
    </w:p>
    <w:p w:rsidR="004F79EC" w:rsidRDefault="00F60587" w:rsidP="00F60587">
      <w:pPr>
        <w:jc w:val="center"/>
      </w:pPr>
      <w:bookmarkStart w:id="0" w:name="_GoBack"/>
      <w:r>
        <w:t>Situation Analysis Memo</w:t>
      </w:r>
    </w:p>
    <w:bookmarkEnd w:id="0"/>
    <w:p w:rsidR="00F60587" w:rsidRDefault="00F60587" w:rsidP="00F60587">
      <w:pPr>
        <w:jc w:val="center"/>
      </w:pPr>
      <w:r>
        <w:t>Student’s Name</w:t>
      </w:r>
    </w:p>
    <w:p w:rsidR="00F60587" w:rsidRDefault="00F60587" w:rsidP="00F60587">
      <w:pPr>
        <w:jc w:val="center"/>
      </w:pPr>
      <w:r>
        <w:t>Institution</w:t>
      </w:r>
    </w:p>
    <w:p w:rsidR="00F60587" w:rsidRDefault="00F60587">
      <w:pPr>
        <w:spacing w:line="276" w:lineRule="auto"/>
      </w:pPr>
      <w:r>
        <w:br w:type="page"/>
      </w:r>
    </w:p>
    <w:p w:rsidR="00F60587" w:rsidRPr="006A1138" w:rsidRDefault="003540E5" w:rsidP="00F60587">
      <w:pPr>
        <w:spacing w:after="0" w:line="240" w:lineRule="auto"/>
        <w:jc w:val="center"/>
        <w:rPr>
          <w:rFonts w:eastAsia="Times New Roman" w:cs="Times New Roman"/>
          <w:color w:val="1C1E29"/>
          <w:szCs w:val="24"/>
        </w:rPr>
      </w:pPr>
      <w:r>
        <w:rPr>
          <w:rFonts w:cs="Times New Roman"/>
          <w:color w:val="1B1B1B"/>
          <w:szCs w:val="24"/>
          <w:shd w:val="clear" w:color="auto" w:fill="FFFFFF"/>
        </w:rPr>
        <w:lastRenderedPageBreak/>
        <w:t>Situation Analysi</w:t>
      </w:r>
      <w:r w:rsidR="00F60587" w:rsidRPr="006A1138">
        <w:rPr>
          <w:rFonts w:cs="Times New Roman"/>
          <w:color w:val="1B1B1B"/>
          <w:szCs w:val="24"/>
          <w:shd w:val="clear" w:color="auto" w:fill="FFFFFF"/>
        </w:rPr>
        <w:t>s Memo</w:t>
      </w:r>
    </w:p>
    <w:p w:rsidR="00F60587" w:rsidRPr="00DB303A" w:rsidRDefault="00F60587" w:rsidP="00F60587">
      <w:pPr>
        <w:spacing w:after="0" w:line="240" w:lineRule="auto"/>
        <w:rPr>
          <w:rFonts w:eastAsia="Times New Roman" w:cs="Times New Roman"/>
          <w:color w:val="1C1E29"/>
          <w:szCs w:val="24"/>
        </w:rPr>
      </w:pPr>
      <w:r w:rsidRPr="00DB303A">
        <w:rPr>
          <w:rFonts w:eastAsia="Times New Roman" w:cs="Times New Roman"/>
          <w:color w:val="1C1E29"/>
          <w:szCs w:val="24"/>
        </w:rPr>
        <w:t xml:space="preserve">1. </w:t>
      </w:r>
      <w:r w:rsidR="00D93733">
        <w:rPr>
          <w:rFonts w:eastAsia="Times New Roman" w:cs="Times New Roman"/>
          <w:color w:val="1C1E29"/>
          <w:szCs w:val="24"/>
        </w:rPr>
        <w:t>which</w:t>
      </w:r>
      <w:r w:rsidRPr="00DB303A">
        <w:rPr>
          <w:rFonts w:eastAsia="Times New Roman" w:cs="Times New Roman"/>
          <w:color w:val="1C1E29"/>
          <w:szCs w:val="24"/>
        </w:rPr>
        <w:t>, if any, rights have been violated according to the relevant legal instruments (constitution, regional, and international conventions)?</w:t>
      </w:r>
    </w:p>
    <w:p w:rsidR="00F60587" w:rsidRPr="00DB303A" w:rsidRDefault="00F60587" w:rsidP="00F60587">
      <w:pPr>
        <w:spacing w:after="0" w:line="240" w:lineRule="auto"/>
        <w:ind w:firstLine="720"/>
        <w:rPr>
          <w:rFonts w:eastAsia="Times New Roman" w:cs="Times New Roman"/>
          <w:color w:val="1C1E29"/>
          <w:szCs w:val="24"/>
        </w:rPr>
      </w:pPr>
      <w:r w:rsidRPr="00DB303A">
        <w:rPr>
          <w:rFonts w:eastAsia="Times New Roman" w:cs="Times New Roman"/>
          <w:color w:val="1C1E29"/>
          <w:szCs w:val="24"/>
        </w:rPr>
        <w:t>The two Roma women have been subjected to employment discrimination in the public school system. Their constitution right of getting employed as teachers in the school was violated. Riclandian constitution guarantees protection from discrimination of its twelve ethnic communities hence the law was breached by the school. Even though the two Roma women had sound academic qualifications, they were not rendered teaching opportunities in the institution. This denotes that the women were not provided with the vacancies due to their status as women. Employment discrimination laws are highly revered by the constitution to prevent discrimination of people based on their ethnic backgrounds, sexual orientation, national origin as well as sex</w:t>
      </w:r>
      <w:r w:rsidRPr="004F79EC">
        <w:rPr>
          <w:rFonts w:cs="Times New Roman"/>
          <w:color w:val="222222"/>
          <w:szCs w:val="24"/>
          <w:shd w:val="clear" w:color="auto" w:fill="FFFFFF"/>
        </w:rPr>
        <w:t xml:space="preserve"> </w:t>
      </w:r>
      <w:r>
        <w:rPr>
          <w:rFonts w:cs="Times New Roman"/>
          <w:color w:val="222222"/>
          <w:szCs w:val="24"/>
          <w:shd w:val="clear" w:color="auto" w:fill="FFFFFF"/>
        </w:rPr>
        <w:t xml:space="preserve">(Midtbøen, </w:t>
      </w:r>
      <w:r w:rsidRPr="004F79EC">
        <w:rPr>
          <w:rFonts w:cs="Times New Roman"/>
          <w:color w:val="222222"/>
          <w:szCs w:val="24"/>
          <w:shd w:val="clear" w:color="auto" w:fill="FFFFFF"/>
        </w:rPr>
        <w:t>2015)</w:t>
      </w:r>
      <w:r w:rsidRPr="00DB303A">
        <w:rPr>
          <w:rFonts w:eastAsia="Times New Roman" w:cs="Times New Roman"/>
          <w:color w:val="1C1E29"/>
          <w:szCs w:val="24"/>
        </w:rPr>
        <w:t>. Additionally, an international convention was contravened. Riclandia is a party to the European Convention on Human Rights, International Convention on Civil and Political Rights, and International Convention on Social, Economic, and Cultural Rights hence the school went against the accords championed by the conventions. The aforesaid international conventions recommend fairness in the allocation of job opportunities to the natives of Riclandia without discrimination. They emphasize prohibit employment discrimination based on one’s gender and ethnic background. The Riclandian Constitution was silent on the discrimination based on sex and gender thereby leading to the proliferation of the scourge. Thus people from minority groups like Roma were not provided with certain services they qualified for. An example is the two female Roma women who did not get employed within the school district system. This is a violation of the minorities’ human rights to be availed with employment opportunities as held in the constitution.</w:t>
      </w:r>
    </w:p>
    <w:p w:rsidR="00F60587" w:rsidRPr="00DB303A" w:rsidRDefault="00F60587" w:rsidP="00F60587">
      <w:pPr>
        <w:spacing w:after="0" w:line="240" w:lineRule="auto"/>
        <w:rPr>
          <w:rFonts w:eastAsia="Times New Roman" w:cs="Times New Roman"/>
          <w:color w:val="1C1E29"/>
          <w:szCs w:val="24"/>
        </w:rPr>
      </w:pPr>
      <w:r w:rsidRPr="00DB303A">
        <w:rPr>
          <w:rFonts w:eastAsia="Times New Roman" w:cs="Times New Roman"/>
          <w:color w:val="1C1E29"/>
          <w:szCs w:val="24"/>
        </w:rPr>
        <w:t xml:space="preserve">2. </w:t>
      </w:r>
      <w:r>
        <w:rPr>
          <w:rFonts w:eastAsia="Times New Roman" w:cs="Times New Roman"/>
          <w:color w:val="1C1E29"/>
          <w:szCs w:val="24"/>
        </w:rPr>
        <w:t xml:space="preserve"> </w:t>
      </w:r>
      <w:r w:rsidRPr="00DB303A">
        <w:rPr>
          <w:rFonts w:eastAsia="Times New Roman" w:cs="Times New Roman"/>
          <w:color w:val="1C1E29"/>
          <w:szCs w:val="24"/>
        </w:rPr>
        <w:t>Do you believe that there are grounds here to pursue a claim based on ethnicity, gender, both, or neither? Why or why not?</w:t>
      </w:r>
    </w:p>
    <w:p w:rsidR="00F60587" w:rsidRPr="00DB303A" w:rsidRDefault="00F60587" w:rsidP="00F60587">
      <w:pPr>
        <w:spacing w:after="0" w:line="240" w:lineRule="auto"/>
        <w:ind w:firstLine="720"/>
        <w:rPr>
          <w:rFonts w:eastAsia="Times New Roman" w:cs="Times New Roman"/>
          <w:color w:val="1C1E29"/>
          <w:szCs w:val="24"/>
        </w:rPr>
      </w:pPr>
      <w:r w:rsidRPr="00DB303A">
        <w:rPr>
          <w:rFonts w:eastAsia="Times New Roman" w:cs="Times New Roman"/>
          <w:color w:val="1C1E29"/>
          <w:szCs w:val="24"/>
        </w:rPr>
        <w:t>There are grounds for her to pursue a claim based on ethnicity and gender. Foremost, the school purports to have employed workers who are mainly females yet there are no Roma female teachers. It shows that the school has discriminated Roma teachers from getting employed within it. This denotes ethnic bias that the institution has towards Roma female teachers. Even though the two Roma has competent academic qualifications, their services are not hired by the school. Therefore, it depicts that the institution has discriminated them due to their national origin</w:t>
      </w:r>
      <w:r w:rsidRPr="00FD375C">
        <w:rPr>
          <w:rFonts w:cs="Times New Roman"/>
          <w:color w:val="222222"/>
          <w:szCs w:val="24"/>
          <w:shd w:val="clear" w:color="auto" w:fill="FFFFFF"/>
        </w:rPr>
        <w:t xml:space="preserve"> </w:t>
      </w:r>
      <w:r>
        <w:rPr>
          <w:rFonts w:cs="Times New Roman"/>
          <w:color w:val="222222"/>
          <w:szCs w:val="24"/>
          <w:shd w:val="clear" w:color="auto" w:fill="FFFFFF"/>
        </w:rPr>
        <w:t>(</w:t>
      </w:r>
      <w:r w:rsidRPr="004F79EC">
        <w:rPr>
          <w:rFonts w:cs="Times New Roman"/>
          <w:color w:val="222222"/>
          <w:szCs w:val="24"/>
          <w:shd w:val="clear" w:color="auto" w:fill="FFFFFF"/>
        </w:rPr>
        <w:t>Tri</w:t>
      </w:r>
      <w:r>
        <w:rPr>
          <w:rFonts w:cs="Times New Roman"/>
          <w:color w:val="222222"/>
          <w:szCs w:val="24"/>
          <w:shd w:val="clear" w:color="auto" w:fill="FFFFFF"/>
        </w:rPr>
        <w:t xml:space="preserve">ana et al., </w:t>
      </w:r>
      <w:r w:rsidRPr="004F79EC">
        <w:rPr>
          <w:rFonts w:cs="Times New Roman"/>
          <w:color w:val="222222"/>
          <w:szCs w:val="24"/>
          <w:shd w:val="clear" w:color="auto" w:fill="FFFFFF"/>
        </w:rPr>
        <w:t>2018)</w:t>
      </w:r>
      <w:r w:rsidRPr="00DB303A">
        <w:rPr>
          <w:rFonts w:eastAsia="Times New Roman" w:cs="Times New Roman"/>
          <w:color w:val="1C1E29"/>
          <w:szCs w:val="24"/>
        </w:rPr>
        <w:t>. Also, the school professes to have employed one Romani male teacher in the entire school district who passes as a gadje (non-Roma). It indicates that the school is not etched on providing Roma people with teaching vacancies and only allocates them to non-Roma people. This provides evidence that the school discriminates the natives of Roma from rendering them employment opportunities while availing them to non-Roma people. The issue of gender is as well embodied by the school. It has no female Roma teacher availing teaching services within it. For that reason, I consider that this institution has explicitly exemplified discrimination towards the people of Roma. The two women were prevented from being hired to the school system due to their gender hence they can consider suing the institution for breaching their fundamental right to get employment in any school within Riclandia.</w:t>
      </w:r>
    </w:p>
    <w:p w:rsidR="00F60587" w:rsidRPr="00DB303A" w:rsidRDefault="00F60587" w:rsidP="00F60587">
      <w:pPr>
        <w:spacing w:after="0" w:line="240" w:lineRule="auto"/>
        <w:rPr>
          <w:rFonts w:eastAsia="Times New Roman" w:cs="Times New Roman"/>
          <w:color w:val="1C1E29"/>
          <w:szCs w:val="24"/>
        </w:rPr>
      </w:pPr>
      <w:r w:rsidRPr="00DB303A">
        <w:rPr>
          <w:rFonts w:eastAsia="Times New Roman" w:cs="Times New Roman"/>
          <w:color w:val="1C1E29"/>
          <w:szCs w:val="24"/>
        </w:rPr>
        <w:t>3.     </w:t>
      </w:r>
      <w:r w:rsidRPr="001A2D84">
        <w:rPr>
          <w:rFonts w:eastAsia="Times New Roman" w:cs="Times New Roman"/>
          <w:iCs/>
          <w:color w:val="1C1E29"/>
          <w:szCs w:val="24"/>
        </w:rPr>
        <w:t>If </w:t>
      </w:r>
      <w:r w:rsidRPr="00DB303A">
        <w:rPr>
          <w:rFonts w:eastAsia="Times New Roman" w:cs="Times New Roman"/>
          <w:color w:val="1C1E29"/>
          <w:szCs w:val="24"/>
        </w:rPr>
        <w:t>any rights have been violated, where should F4A initiate a claim and why? Remember that to bring a case to the European Court; all domestic remedies must be exhausted. However, if you are looking at a right that is not guaranteed domestically, the process might be different.</w:t>
      </w:r>
    </w:p>
    <w:p w:rsidR="00F60587" w:rsidRPr="00DB303A" w:rsidRDefault="00F60587" w:rsidP="00F60587">
      <w:pPr>
        <w:spacing w:after="0" w:line="240" w:lineRule="auto"/>
        <w:ind w:firstLine="720"/>
        <w:rPr>
          <w:rFonts w:eastAsia="Times New Roman" w:cs="Times New Roman"/>
          <w:color w:val="1C1E29"/>
          <w:szCs w:val="24"/>
        </w:rPr>
      </w:pPr>
      <w:r w:rsidRPr="00DB303A">
        <w:rPr>
          <w:rFonts w:eastAsia="Times New Roman" w:cs="Times New Roman"/>
          <w:color w:val="1C1E29"/>
          <w:szCs w:val="24"/>
        </w:rPr>
        <w:t xml:space="preserve">The claim of employment discrimination by the school system towards the two Roma women can be filed to the United Nations through getting in touch with a local bar association or </w:t>
      </w:r>
      <w:r w:rsidRPr="00DB303A">
        <w:rPr>
          <w:rFonts w:eastAsia="Times New Roman" w:cs="Times New Roman"/>
          <w:color w:val="1C1E29"/>
          <w:szCs w:val="24"/>
        </w:rPr>
        <w:lastRenderedPageBreak/>
        <w:t>an advocacy group for human rights. There is a need to search for a Non-governmental organization within Riclandia by using the organisations’ database in consultative status amid ECOSOC alongside other relevant accreditations. The two Roma women can file a claim with the Ministry of Labor and highlight the violation of their rights. Employment litigation involves their complaints with regards to employment discrimination they have been subjected to by the school. There are multiple resources for people who want to communicate human rights concerns to the United Nation on the website of the Office of the High Commissioner for Human Rights</w:t>
      </w:r>
      <w:r w:rsidRPr="006D7A75">
        <w:rPr>
          <w:rFonts w:cs="Times New Roman"/>
          <w:color w:val="222222"/>
          <w:szCs w:val="24"/>
          <w:shd w:val="clear" w:color="auto" w:fill="FFFFFF"/>
        </w:rPr>
        <w:t xml:space="preserve"> </w:t>
      </w:r>
      <w:r>
        <w:rPr>
          <w:rFonts w:cs="Times New Roman"/>
          <w:color w:val="222222"/>
          <w:szCs w:val="24"/>
          <w:shd w:val="clear" w:color="auto" w:fill="FFFFFF"/>
        </w:rPr>
        <w:t xml:space="preserve">(Ruggs et al., </w:t>
      </w:r>
      <w:r w:rsidRPr="004F79EC">
        <w:rPr>
          <w:rFonts w:cs="Times New Roman"/>
          <w:color w:val="222222"/>
          <w:szCs w:val="24"/>
          <w:shd w:val="clear" w:color="auto" w:fill="FFFFFF"/>
        </w:rPr>
        <w:t>2015)</w:t>
      </w:r>
      <w:r w:rsidRPr="00DB303A">
        <w:rPr>
          <w:rFonts w:eastAsia="Times New Roman" w:cs="Times New Roman"/>
          <w:color w:val="1C1E29"/>
          <w:szCs w:val="24"/>
        </w:rPr>
        <w:t>. It has numerous conventions that help a person to effectively address his or her problems concerning a violation of his or her right. For instance, the two Roma women had acquired requisite educational qualifications yet they were not given teaching opportunities by the school. It depicts that their right to get employed by the institution was violated. Thus they ought to consider reporting the matter to human rights agency with the view of getting justice. The school had not recruited any female Roman teacher hence it justifies the need to file a lawsuit against it. Human rights bodies can then come up with decisions concerning the case in reports that are regarded as jurisprudence.</w:t>
      </w:r>
    </w:p>
    <w:p w:rsidR="00F60587" w:rsidRPr="00C4545B" w:rsidRDefault="00F60587" w:rsidP="00F60587">
      <w:pPr>
        <w:pStyle w:val="ListParagraph"/>
        <w:numPr>
          <w:ilvl w:val="0"/>
          <w:numId w:val="6"/>
        </w:numPr>
        <w:rPr>
          <w:rFonts w:ascii="Times New Roman" w:eastAsia="Times New Roman" w:hAnsi="Times New Roman" w:cs="Times New Roman"/>
          <w:color w:val="1C1E29"/>
        </w:rPr>
      </w:pPr>
      <w:r w:rsidRPr="00DB303A">
        <w:rPr>
          <w:rFonts w:ascii="Times New Roman" w:eastAsia="Times New Roman" w:hAnsi="Times New Roman" w:cs="Times New Roman"/>
          <w:color w:val="1C1E29"/>
        </w:rPr>
        <w:t>Does the Riclandian Constitution itself violate the country’s international human rights obligations? Why or why not?</w:t>
      </w:r>
    </w:p>
    <w:p w:rsidR="00F60587" w:rsidRPr="00DB303A" w:rsidRDefault="00F60587" w:rsidP="00F60587">
      <w:pPr>
        <w:spacing w:after="0" w:line="240" w:lineRule="auto"/>
        <w:ind w:firstLine="720"/>
        <w:rPr>
          <w:rFonts w:eastAsia="Times New Roman" w:cs="Times New Roman"/>
          <w:color w:val="1C1E29"/>
          <w:szCs w:val="24"/>
        </w:rPr>
      </w:pPr>
      <w:r w:rsidRPr="00DB303A">
        <w:rPr>
          <w:rFonts w:eastAsia="Times New Roman" w:cs="Times New Roman"/>
          <w:color w:val="1C1E29"/>
          <w:szCs w:val="24"/>
        </w:rPr>
        <w:t>The Riclandian Constitution violates the country’s international human rights obligations. It should champion the protection from discrimination for its twelve enumerated ethnic minorities like Roma yet it is deemed silent. The constitution has been dormant with regards to discrimination based on sex or gender. The two Roma women had been prevented from securing employment in the school system within the country however, they had required educational qualifications. The school is thus considered discriminatory in the allocation of teaching vacancies to them. The constitution should be highly revered and respected by every institution in Riclandia by promoting equal employment opportunities to members of the public without considering their ethnicity, national origin, sex or gender</w:t>
      </w:r>
      <w:r w:rsidRPr="00BC1B89">
        <w:rPr>
          <w:rFonts w:cs="Times New Roman"/>
          <w:color w:val="222222"/>
          <w:szCs w:val="24"/>
          <w:shd w:val="clear" w:color="auto" w:fill="FFFFFF"/>
        </w:rPr>
        <w:t xml:space="preserve"> </w:t>
      </w:r>
      <w:r>
        <w:rPr>
          <w:rFonts w:cs="Times New Roman"/>
          <w:color w:val="222222"/>
          <w:szCs w:val="24"/>
          <w:shd w:val="clear" w:color="auto" w:fill="FFFFFF"/>
        </w:rPr>
        <w:t xml:space="preserve">(Cotter, </w:t>
      </w:r>
      <w:r w:rsidRPr="004F79EC">
        <w:rPr>
          <w:rFonts w:cs="Times New Roman"/>
          <w:color w:val="222222"/>
          <w:szCs w:val="24"/>
          <w:shd w:val="clear" w:color="auto" w:fill="FFFFFF"/>
        </w:rPr>
        <w:t>2017)</w:t>
      </w:r>
      <w:r w:rsidRPr="00DB303A">
        <w:rPr>
          <w:rFonts w:eastAsia="Times New Roman" w:cs="Times New Roman"/>
          <w:color w:val="1C1E29"/>
          <w:szCs w:val="24"/>
        </w:rPr>
        <w:t>. Moreover, the school has portrayed discriminatory practice by giving employment to non-Roma people while discriminating the Roma people. There was no female Roma teacher employed within the school. The Riclandian Constitution is to be blamed for such grotesque instances of discrimination that people from minority groups like Roma have been put through. It should uphold and guarantee the protection of people from discrimination that the school system subjected to the two Roma women. International human rights obligations tout for ensuring equality in giving employment opportunities to every gender. It seeks to discourage conformity towards employment discrimination by reckoning the need of enhancing fairness when rendering employment opportunities to people without regarding their status – national origin or gender. Conversely, the Riclandian Constitution did not astutely stand for the human rights on gender. It was silent on issues that contravened the rights to equal employment opportunities within Riclandia.</w:t>
      </w:r>
    </w:p>
    <w:p w:rsidR="006945DE" w:rsidRDefault="006945DE" w:rsidP="00F60587">
      <w:pPr>
        <w:spacing w:line="240" w:lineRule="auto"/>
        <w:jc w:val="center"/>
      </w:pPr>
    </w:p>
    <w:p w:rsidR="006945DE" w:rsidRDefault="006945DE" w:rsidP="00F60587">
      <w:pPr>
        <w:spacing w:line="240" w:lineRule="auto"/>
        <w:jc w:val="center"/>
      </w:pPr>
    </w:p>
    <w:p w:rsidR="006945DE" w:rsidRDefault="006945DE" w:rsidP="00F60587">
      <w:pPr>
        <w:spacing w:line="240" w:lineRule="auto"/>
        <w:jc w:val="center"/>
      </w:pPr>
    </w:p>
    <w:p w:rsidR="006945DE" w:rsidRDefault="006945DE" w:rsidP="00F60587">
      <w:pPr>
        <w:spacing w:line="240" w:lineRule="auto"/>
        <w:jc w:val="center"/>
      </w:pPr>
    </w:p>
    <w:p w:rsidR="006945DE" w:rsidRDefault="006945DE" w:rsidP="00F60587">
      <w:pPr>
        <w:spacing w:line="240" w:lineRule="auto"/>
        <w:jc w:val="center"/>
      </w:pPr>
    </w:p>
    <w:p w:rsidR="00F60587" w:rsidRDefault="00F60587" w:rsidP="00F60587">
      <w:pPr>
        <w:spacing w:line="240" w:lineRule="auto"/>
        <w:jc w:val="center"/>
      </w:pPr>
      <w:r>
        <w:lastRenderedPageBreak/>
        <w:t>References</w:t>
      </w:r>
    </w:p>
    <w:p w:rsidR="00F60587" w:rsidRPr="004F79EC" w:rsidRDefault="00F60587" w:rsidP="00F60587">
      <w:pPr>
        <w:spacing w:line="240" w:lineRule="auto"/>
        <w:ind w:left="720" w:hanging="720"/>
        <w:rPr>
          <w:rFonts w:cs="Times New Roman"/>
          <w:color w:val="222222"/>
          <w:szCs w:val="24"/>
          <w:shd w:val="clear" w:color="auto" w:fill="FFFFFF"/>
        </w:rPr>
      </w:pPr>
      <w:r w:rsidRPr="004F79EC">
        <w:rPr>
          <w:rFonts w:cs="Times New Roman"/>
          <w:color w:val="222222"/>
          <w:szCs w:val="24"/>
          <w:shd w:val="clear" w:color="auto" w:fill="FFFFFF"/>
        </w:rPr>
        <w:t>Midtbøen, A. H. (2015). The context of employment discrimination: interpreting the findings of a field experiment. </w:t>
      </w:r>
      <w:r w:rsidRPr="004F79EC">
        <w:rPr>
          <w:rFonts w:cs="Times New Roman"/>
          <w:i/>
          <w:iCs/>
          <w:color w:val="222222"/>
          <w:szCs w:val="24"/>
          <w:shd w:val="clear" w:color="auto" w:fill="FFFFFF"/>
        </w:rPr>
        <w:t>The British Journal of Sociology</w:t>
      </w:r>
      <w:r w:rsidRPr="004F79EC">
        <w:rPr>
          <w:rFonts w:cs="Times New Roman"/>
          <w:color w:val="222222"/>
          <w:szCs w:val="24"/>
          <w:shd w:val="clear" w:color="auto" w:fill="FFFFFF"/>
        </w:rPr>
        <w:t>, </w:t>
      </w:r>
      <w:r w:rsidRPr="004F79EC">
        <w:rPr>
          <w:rFonts w:cs="Times New Roman"/>
          <w:i/>
          <w:iCs/>
          <w:color w:val="222222"/>
          <w:szCs w:val="24"/>
          <w:shd w:val="clear" w:color="auto" w:fill="FFFFFF"/>
        </w:rPr>
        <w:t>66</w:t>
      </w:r>
      <w:r w:rsidRPr="004F79EC">
        <w:rPr>
          <w:rFonts w:cs="Times New Roman"/>
          <w:color w:val="222222"/>
          <w:szCs w:val="24"/>
          <w:shd w:val="clear" w:color="auto" w:fill="FFFFFF"/>
        </w:rPr>
        <w:t>(1), 193-214.</w:t>
      </w:r>
    </w:p>
    <w:p w:rsidR="00F60587" w:rsidRPr="004F79EC" w:rsidRDefault="00F60587" w:rsidP="00F60587">
      <w:pPr>
        <w:spacing w:line="240" w:lineRule="auto"/>
        <w:ind w:left="720" w:hanging="720"/>
        <w:rPr>
          <w:rFonts w:cs="Times New Roman"/>
          <w:color w:val="222222"/>
          <w:szCs w:val="24"/>
          <w:shd w:val="clear" w:color="auto" w:fill="FFFFFF"/>
        </w:rPr>
      </w:pPr>
      <w:r w:rsidRPr="004F79EC">
        <w:rPr>
          <w:rFonts w:cs="Times New Roman"/>
          <w:color w:val="222222"/>
          <w:szCs w:val="24"/>
          <w:shd w:val="clear" w:color="auto" w:fill="FFFFFF"/>
        </w:rPr>
        <w:t>Triana, M. D. C., Jayasinghe, M., Pieper, J. R., Delgado, D. M., &amp; Li, M. (2018). Perceived workplace gender discrimination and employee consequences: a meta-analysis and complementary studies considering country context. </w:t>
      </w:r>
      <w:r w:rsidRPr="004F79EC">
        <w:rPr>
          <w:rFonts w:cs="Times New Roman"/>
          <w:i/>
          <w:iCs/>
          <w:color w:val="222222"/>
          <w:szCs w:val="24"/>
          <w:shd w:val="clear" w:color="auto" w:fill="FFFFFF"/>
        </w:rPr>
        <w:t>Journal of Management</w:t>
      </w:r>
      <w:r w:rsidRPr="004F79EC">
        <w:rPr>
          <w:rFonts w:cs="Times New Roman"/>
          <w:color w:val="222222"/>
          <w:szCs w:val="24"/>
          <w:shd w:val="clear" w:color="auto" w:fill="FFFFFF"/>
        </w:rPr>
        <w:t>, 0149206318776772.</w:t>
      </w:r>
    </w:p>
    <w:p w:rsidR="00F60587" w:rsidRPr="004F79EC" w:rsidRDefault="00F60587" w:rsidP="00F60587">
      <w:pPr>
        <w:spacing w:line="240" w:lineRule="auto"/>
        <w:ind w:left="720" w:hanging="720"/>
        <w:rPr>
          <w:rFonts w:cs="Times New Roman"/>
          <w:color w:val="222222"/>
          <w:szCs w:val="24"/>
          <w:shd w:val="clear" w:color="auto" w:fill="FFFFFF"/>
        </w:rPr>
      </w:pPr>
      <w:r w:rsidRPr="004F79EC">
        <w:rPr>
          <w:rFonts w:cs="Times New Roman"/>
          <w:color w:val="222222"/>
          <w:szCs w:val="24"/>
          <w:shd w:val="clear" w:color="auto" w:fill="FFFFFF"/>
        </w:rPr>
        <w:t>Ruggs, E. N., Martinez, L. R., Hebl, M. R., &amp; Law, C. L. (2015). Workplace “trans”-actions: How organizations, coworkers, and individual openness influence perceived gender identity discrimination. </w:t>
      </w:r>
      <w:r w:rsidRPr="004F79EC">
        <w:rPr>
          <w:rFonts w:cs="Times New Roman"/>
          <w:i/>
          <w:iCs/>
          <w:color w:val="222222"/>
          <w:szCs w:val="24"/>
          <w:shd w:val="clear" w:color="auto" w:fill="FFFFFF"/>
        </w:rPr>
        <w:t>Psychology of Sexual Orientation and Gender Diversity</w:t>
      </w:r>
      <w:r w:rsidRPr="004F79EC">
        <w:rPr>
          <w:rFonts w:cs="Times New Roman"/>
          <w:color w:val="222222"/>
          <w:szCs w:val="24"/>
          <w:shd w:val="clear" w:color="auto" w:fill="FFFFFF"/>
        </w:rPr>
        <w:t>, </w:t>
      </w:r>
      <w:r w:rsidRPr="004F79EC">
        <w:rPr>
          <w:rFonts w:cs="Times New Roman"/>
          <w:i/>
          <w:iCs/>
          <w:color w:val="222222"/>
          <w:szCs w:val="24"/>
          <w:shd w:val="clear" w:color="auto" w:fill="FFFFFF"/>
        </w:rPr>
        <w:t>2</w:t>
      </w:r>
      <w:r w:rsidRPr="004F79EC">
        <w:rPr>
          <w:rFonts w:cs="Times New Roman"/>
          <w:color w:val="222222"/>
          <w:szCs w:val="24"/>
          <w:shd w:val="clear" w:color="auto" w:fill="FFFFFF"/>
        </w:rPr>
        <w:t>(4), 404.</w:t>
      </w:r>
    </w:p>
    <w:p w:rsidR="00F60587" w:rsidRPr="004F79EC" w:rsidRDefault="00F60587" w:rsidP="00F60587">
      <w:pPr>
        <w:spacing w:line="240" w:lineRule="auto"/>
        <w:ind w:left="720" w:hanging="720"/>
        <w:rPr>
          <w:rFonts w:cs="Times New Roman"/>
          <w:szCs w:val="24"/>
        </w:rPr>
      </w:pPr>
      <w:r w:rsidRPr="004F79EC">
        <w:rPr>
          <w:rFonts w:cs="Times New Roman"/>
          <w:color w:val="222222"/>
          <w:szCs w:val="24"/>
          <w:shd w:val="clear" w:color="auto" w:fill="FFFFFF"/>
        </w:rPr>
        <w:t>Cotter, A. M. M. (2017). </w:t>
      </w:r>
      <w:r w:rsidRPr="004F79EC">
        <w:rPr>
          <w:rFonts w:cs="Times New Roman"/>
          <w:i/>
          <w:iCs/>
          <w:color w:val="222222"/>
          <w:szCs w:val="24"/>
          <w:shd w:val="clear" w:color="auto" w:fill="FFFFFF"/>
        </w:rPr>
        <w:t>Gender injustice: An international comparative analysis of equality in employment</w:t>
      </w:r>
      <w:r w:rsidRPr="004F79EC">
        <w:rPr>
          <w:rFonts w:cs="Times New Roman"/>
          <w:color w:val="222222"/>
          <w:szCs w:val="24"/>
          <w:shd w:val="clear" w:color="auto" w:fill="FFFFFF"/>
        </w:rPr>
        <w:t>. Routledge.</w:t>
      </w:r>
    </w:p>
    <w:p w:rsidR="00F60587" w:rsidRDefault="00F60587" w:rsidP="00F60587">
      <w:pPr>
        <w:jc w:val="center"/>
      </w:pPr>
    </w:p>
    <w:p w:rsidR="00F60587" w:rsidRPr="00F60587" w:rsidRDefault="00F60587" w:rsidP="00F60587"/>
    <w:sectPr w:rsidR="00F60587" w:rsidRPr="00F60587" w:rsidSect="00F60587">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B7C6E" w:rsidRDefault="00AB7C6E" w:rsidP="00F60587">
      <w:pPr>
        <w:spacing w:after="0" w:line="240" w:lineRule="auto"/>
      </w:pPr>
      <w:r>
        <w:separator/>
      </w:r>
    </w:p>
  </w:endnote>
  <w:endnote w:type="continuationSeparator" w:id="0">
    <w:p w:rsidR="00AB7C6E" w:rsidRDefault="00AB7C6E" w:rsidP="00F605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B7C6E" w:rsidRDefault="00AB7C6E" w:rsidP="00F60587">
      <w:pPr>
        <w:spacing w:after="0" w:line="240" w:lineRule="auto"/>
      </w:pPr>
      <w:r>
        <w:separator/>
      </w:r>
    </w:p>
  </w:footnote>
  <w:footnote w:type="continuationSeparator" w:id="0">
    <w:p w:rsidR="00AB7C6E" w:rsidRDefault="00AB7C6E" w:rsidP="00F6058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02104672"/>
      <w:docPartObj>
        <w:docPartGallery w:val="Page Numbers (Top of Page)"/>
        <w:docPartUnique/>
      </w:docPartObj>
    </w:sdtPr>
    <w:sdtEndPr/>
    <w:sdtContent>
      <w:p w:rsidR="00F60587" w:rsidRDefault="00F60587" w:rsidP="000A7A85">
        <w:pPr>
          <w:pStyle w:val="Header"/>
          <w:jc w:val="right"/>
        </w:pPr>
        <w:r>
          <w:t>SITUATION ANALYSIS MEMO</w:t>
        </w:r>
        <w:r>
          <w:tab/>
        </w:r>
        <w:r>
          <w:tab/>
        </w:r>
        <w:r w:rsidR="00AB7C6E">
          <w:fldChar w:fldCharType="begin"/>
        </w:r>
        <w:r w:rsidR="00AB7C6E">
          <w:instrText xml:space="preserve"> PAGE   \* MERGEFORMAT </w:instrText>
        </w:r>
        <w:r w:rsidR="00AB7C6E">
          <w:fldChar w:fldCharType="separate"/>
        </w:r>
        <w:r w:rsidR="00717814">
          <w:rPr>
            <w:noProof/>
          </w:rPr>
          <w:t>2</w:t>
        </w:r>
        <w:r w:rsidR="00AB7C6E">
          <w:rPr>
            <w:noProof/>
          </w:rPr>
          <w:fldChar w:fldCharType="end"/>
        </w:r>
      </w:p>
    </w:sdtContent>
  </w:sdt>
  <w:p w:rsidR="00F60587" w:rsidRDefault="00F60587">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0587" w:rsidRDefault="00F60587">
    <w:pPr>
      <w:pStyle w:val="Header"/>
    </w:pPr>
    <w:r>
      <w:t>Running Head: SITUATION ANALYSIS MEMO</w:t>
    </w:r>
    <w:r>
      <w:tab/>
      <w:t>1</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3627F4"/>
    <w:multiLevelType w:val="hybridMultilevel"/>
    <w:tmpl w:val="462EE51C"/>
    <w:lvl w:ilvl="0" w:tplc="5FBC332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63B28AA"/>
    <w:multiLevelType w:val="hybridMultilevel"/>
    <w:tmpl w:val="462EE51C"/>
    <w:lvl w:ilvl="0" w:tplc="5FBC332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11C2288"/>
    <w:multiLevelType w:val="hybridMultilevel"/>
    <w:tmpl w:val="462EE51C"/>
    <w:lvl w:ilvl="0" w:tplc="5FBC332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9AF6FF8"/>
    <w:multiLevelType w:val="multilevel"/>
    <w:tmpl w:val="7C5C4B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56CB7FB8"/>
    <w:multiLevelType w:val="hybridMultilevel"/>
    <w:tmpl w:val="7CB22E9C"/>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0E46044"/>
    <w:multiLevelType w:val="hybridMultilevel"/>
    <w:tmpl w:val="462EE51C"/>
    <w:lvl w:ilvl="0" w:tplc="5FBC332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5"/>
  </w:num>
  <w:num w:numId="5">
    <w:abstractNumId w:val="3"/>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13DE"/>
    <w:rsid w:val="00081E8D"/>
    <w:rsid w:val="000A7A85"/>
    <w:rsid w:val="000C1100"/>
    <w:rsid w:val="000F7668"/>
    <w:rsid w:val="00133374"/>
    <w:rsid w:val="001613DE"/>
    <w:rsid w:val="001A2D84"/>
    <w:rsid w:val="0029615F"/>
    <w:rsid w:val="002F5703"/>
    <w:rsid w:val="003540E5"/>
    <w:rsid w:val="00377423"/>
    <w:rsid w:val="00400DA4"/>
    <w:rsid w:val="00417A8B"/>
    <w:rsid w:val="00474F9D"/>
    <w:rsid w:val="004F79EC"/>
    <w:rsid w:val="00514D12"/>
    <w:rsid w:val="005A4BF9"/>
    <w:rsid w:val="0066459E"/>
    <w:rsid w:val="006945DE"/>
    <w:rsid w:val="006A1138"/>
    <w:rsid w:val="006B6546"/>
    <w:rsid w:val="006D7A75"/>
    <w:rsid w:val="00717814"/>
    <w:rsid w:val="00771D73"/>
    <w:rsid w:val="007F04B1"/>
    <w:rsid w:val="00873A9C"/>
    <w:rsid w:val="00AA5FC1"/>
    <w:rsid w:val="00AB5135"/>
    <w:rsid w:val="00AB7C6E"/>
    <w:rsid w:val="00B12C51"/>
    <w:rsid w:val="00B54D35"/>
    <w:rsid w:val="00BC1B89"/>
    <w:rsid w:val="00C4545B"/>
    <w:rsid w:val="00D93733"/>
    <w:rsid w:val="00DB303A"/>
    <w:rsid w:val="00E25B2F"/>
    <w:rsid w:val="00F60587"/>
    <w:rsid w:val="00F8539A"/>
    <w:rsid w:val="00FD37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9665E1E-94BB-418D-ACB8-A79C88655F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77423"/>
    <w:pPr>
      <w:spacing w:line="48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rsid w:val="001613DE"/>
    <w:pPr>
      <w:spacing w:after="0" w:line="240" w:lineRule="auto"/>
      <w:ind w:left="720"/>
      <w:contextualSpacing/>
    </w:pPr>
    <w:rPr>
      <w:rFonts w:asciiTheme="minorHAnsi" w:hAnsiTheme="minorHAnsi"/>
      <w:szCs w:val="24"/>
    </w:rPr>
  </w:style>
  <w:style w:type="paragraph" w:styleId="NormalWeb">
    <w:name w:val="Normal (Web)"/>
    <w:basedOn w:val="Normal"/>
    <w:uiPriority w:val="99"/>
    <w:semiHidden/>
    <w:unhideWhenUsed/>
    <w:rsid w:val="00DB303A"/>
    <w:pPr>
      <w:spacing w:before="100" w:beforeAutospacing="1" w:after="100" w:afterAutospacing="1" w:line="240" w:lineRule="auto"/>
    </w:pPr>
    <w:rPr>
      <w:rFonts w:eastAsia="Times New Roman" w:cs="Times New Roman"/>
      <w:szCs w:val="24"/>
    </w:rPr>
  </w:style>
  <w:style w:type="character" w:styleId="Emphasis">
    <w:name w:val="Emphasis"/>
    <w:basedOn w:val="DefaultParagraphFont"/>
    <w:uiPriority w:val="20"/>
    <w:qFormat/>
    <w:rsid w:val="00DB303A"/>
    <w:rPr>
      <w:i/>
      <w:iCs/>
    </w:rPr>
  </w:style>
  <w:style w:type="paragraph" w:styleId="Header">
    <w:name w:val="header"/>
    <w:basedOn w:val="Normal"/>
    <w:link w:val="HeaderChar"/>
    <w:uiPriority w:val="99"/>
    <w:unhideWhenUsed/>
    <w:rsid w:val="00F60587"/>
    <w:pPr>
      <w:tabs>
        <w:tab w:val="center" w:pos="4680"/>
        <w:tab w:val="right" w:pos="9360"/>
      </w:tabs>
      <w:spacing w:after="0" w:line="240" w:lineRule="auto"/>
    </w:pPr>
  </w:style>
  <w:style w:type="character" w:customStyle="1" w:styleId="HeaderChar">
    <w:name w:val="Header Char"/>
    <w:basedOn w:val="DefaultParagraphFont"/>
    <w:link w:val="Header"/>
    <w:uiPriority w:val="99"/>
    <w:rsid w:val="00F60587"/>
    <w:rPr>
      <w:rFonts w:ascii="Times New Roman" w:hAnsi="Times New Roman"/>
      <w:sz w:val="24"/>
    </w:rPr>
  </w:style>
  <w:style w:type="paragraph" w:styleId="Footer">
    <w:name w:val="footer"/>
    <w:basedOn w:val="Normal"/>
    <w:link w:val="FooterChar"/>
    <w:uiPriority w:val="99"/>
    <w:semiHidden/>
    <w:unhideWhenUsed/>
    <w:rsid w:val="00F60587"/>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F60587"/>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28367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1229</Words>
  <Characters>7006</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nilly</dc:creator>
  <cp:lastModifiedBy>Windows User</cp:lastModifiedBy>
  <cp:revision>2</cp:revision>
  <dcterms:created xsi:type="dcterms:W3CDTF">2019-11-07T01:06:00Z</dcterms:created>
  <dcterms:modified xsi:type="dcterms:W3CDTF">2019-11-07T01:06:00Z</dcterms:modified>
</cp:coreProperties>
</file>